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360" w:lineRule="auto"/>
        <w:jc w:val="center"/>
        <w:rPr>
          <w:rFonts w:hint="eastAsia" w:ascii="宋体" w:hAnsi="宋体" w:eastAsia="宋体" w:cs="宋体"/>
          <w:b/>
          <w:bCs/>
          <w:sz w:val="36"/>
          <w:szCs w:val="36"/>
          <w:lang w:bidi="ar"/>
        </w:rPr>
      </w:pPr>
      <w:r>
        <w:rPr>
          <w:rFonts w:hint="eastAsia" w:ascii="宋体" w:hAnsi="宋体" w:eastAsia="宋体" w:cs="宋体"/>
          <w:b/>
          <w:bCs/>
          <w:sz w:val="36"/>
          <w:szCs w:val="36"/>
          <w:lang w:bidi="ar"/>
        </w:rPr>
        <w:t>关于</w:t>
      </w:r>
      <w:r>
        <w:rPr>
          <w:rFonts w:hint="eastAsia" w:ascii="宋体" w:hAnsi="宋体" w:eastAsia="宋体" w:cs="宋体"/>
          <w:b/>
          <w:bCs/>
          <w:sz w:val="36"/>
          <w:szCs w:val="36"/>
          <w:lang w:bidi="ar"/>
        </w:rPr>
        <w:t>推动实施中非合作“小而美”民</w:t>
      </w:r>
      <w:r>
        <w:rPr>
          <w:rFonts w:hint="eastAsia" w:ascii="宋体" w:hAnsi="宋体" w:eastAsia="宋体" w:cs="宋体"/>
          <w:b/>
          <w:bCs/>
          <w:sz w:val="36"/>
          <w:szCs w:val="36"/>
          <w:lang w:eastAsia="zh-CN" w:bidi="ar"/>
        </w:rPr>
        <w:t>生</w:t>
      </w:r>
      <w:r>
        <w:rPr>
          <w:rFonts w:hint="eastAsia" w:ascii="宋体" w:hAnsi="宋体" w:eastAsia="宋体" w:cs="宋体"/>
          <w:b/>
          <w:bCs/>
          <w:sz w:val="36"/>
          <w:szCs w:val="36"/>
          <w:lang w:bidi="ar"/>
        </w:rPr>
        <w:t>项目</w:t>
      </w:r>
      <w:r>
        <w:rPr>
          <w:rFonts w:hint="eastAsia" w:ascii="宋体" w:hAnsi="宋体" w:eastAsia="宋体" w:cs="宋体"/>
          <w:b/>
          <w:bCs/>
          <w:sz w:val="36"/>
          <w:szCs w:val="36"/>
          <w:lang w:bidi="ar"/>
        </w:rPr>
        <w:t>的倡议</w:t>
      </w:r>
    </w:p>
    <w:p>
      <w:pPr>
        <w:widowControl/>
        <w:spacing w:before="156" w:beforeLines="50" w:line="360" w:lineRule="auto"/>
        <w:jc w:val="center"/>
        <w:rPr>
          <w:rFonts w:hint="eastAsia" w:ascii="仿宋_GB2312" w:hAnsi="Calibri" w:eastAsia="仿宋_GB2312" w:cs="仿宋_GB2312"/>
          <w:b w:val="0"/>
          <w:sz w:val="32"/>
          <w:szCs w:val="32"/>
          <w:lang w:bidi="ar"/>
        </w:rPr>
      </w:pPr>
      <w:bookmarkStart w:id="0" w:name="_GoBack"/>
      <w:bookmarkEnd w:id="0"/>
      <w:r>
        <w:rPr>
          <w:rFonts w:hint="eastAsia" w:ascii="仿宋_GB2312" w:hAnsi="Calibri" w:eastAsia="仿宋_GB2312" w:cs="仿宋_GB2312"/>
          <w:b w:val="0"/>
          <w:sz w:val="32"/>
          <w:szCs w:val="32"/>
          <w:lang w:bidi="ar"/>
        </w:rPr>
        <w:t xml:space="preserve"> </w:t>
      </w:r>
    </w:p>
    <w:p>
      <w:pPr>
        <w:widowControl/>
        <w:spacing w:before="156" w:beforeLines="50" w:line="360" w:lineRule="auto"/>
        <w:ind w:firstLine="640" w:firstLineChars="200"/>
        <w:rPr>
          <w:rFonts w:ascii="仿宋_GB2312" w:eastAsia="仿宋_GB2312" w:cs="仿宋_GB2312"/>
          <w:sz w:val="32"/>
          <w:szCs w:val="32"/>
        </w:rPr>
      </w:pPr>
      <w:r>
        <w:rPr>
          <w:rFonts w:hint="eastAsia" w:ascii="仿宋_GB2312" w:hAnsi="Calibri" w:eastAsia="仿宋_GB2312" w:cs="仿宋_GB2312"/>
          <w:sz w:val="32"/>
          <w:szCs w:val="32"/>
          <w:lang w:bidi="ar"/>
        </w:rPr>
        <w:t>“百企千村”活动作为中非合作论坛发起的重要举措之一，</w:t>
      </w:r>
      <w:r>
        <w:rPr>
          <w:rFonts w:hint="eastAsia" w:ascii="仿宋_GB2312" w:hAnsi="Calibri" w:eastAsia="仿宋_GB2312" w:cs="仿宋_GB2312"/>
          <w:sz w:val="32"/>
          <w:szCs w:val="32"/>
          <w:lang w:bidi="ar"/>
        </w:rPr>
        <w:t>旨在倡导</w:t>
      </w:r>
      <w:r>
        <w:rPr>
          <w:rFonts w:hint="eastAsia" w:ascii="仿宋_GB2312" w:hAnsi="Calibri" w:eastAsia="仿宋_GB2312" w:cs="仿宋_GB2312"/>
          <w:sz w:val="32"/>
          <w:szCs w:val="32"/>
          <w:lang w:eastAsia="zh-CN" w:bidi="ar"/>
        </w:rPr>
        <w:t>企业在</w:t>
      </w:r>
      <w:r>
        <w:rPr>
          <w:rFonts w:hint="eastAsia" w:ascii="仿宋_GB2312" w:hAnsi="Calibri" w:eastAsia="仿宋_GB2312" w:cs="仿宋_GB2312"/>
          <w:sz w:val="32"/>
          <w:szCs w:val="32"/>
          <w:lang w:bidi="ar"/>
        </w:rPr>
        <w:t>建设重大标志性</w:t>
      </w:r>
      <w:r>
        <w:rPr>
          <w:rFonts w:hint="eastAsia" w:ascii="仿宋_GB2312" w:hAnsi="Calibri" w:eastAsia="仿宋_GB2312" w:cs="仿宋_GB2312"/>
          <w:sz w:val="32"/>
          <w:szCs w:val="32"/>
          <w:lang w:eastAsia="zh-CN" w:bidi="ar"/>
        </w:rPr>
        <w:t>工程</w:t>
      </w:r>
      <w:r>
        <w:rPr>
          <w:rFonts w:hint="eastAsia" w:ascii="仿宋_GB2312" w:hAnsi="Calibri" w:eastAsia="仿宋_GB2312" w:cs="仿宋_GB2312"/>
          <w:sz w:val="32"/>
          <w:szCs w:val="32"/>
          <w:lang w:bidi="ar"/>
        </w:rPr>
        <w:t>的同时，推动实施“小而美”</w:t>
      </w:r>
      <w:r>
        <w:rPr>
          <w:rFonts w:hint="eastAsia" w:ascii="仿宋_GB2312" w:hAnsi="Calibri" w:eastAsia="仿宋_GB2312" w:cs="仿宋_GB2312"/>
          <w:sz w:val="32"/>
          <w:szCs w:val="32"/>
          <w:lang w:eastAsia="zh-CN" w:bidi="ar"/>
        </w:rPr>
        <w:t>民生</w:t>
      </w:r>
      <w:r>
        <w:rPr>
          <w:rFonts w:hint="eastAsia" w:ascii="仿宋_GB2312" w:hAnsi="Calibri" w:eastAsia="仿宋_GB2312" w:cs="仿宋_GB2312"/>
          <w:sz w:val="32"/>
          <w:szCs w:val="32"/>
          <w:lang w:bidi="ar"/>
        </w:rPr>
        <w:t>项目，</w:t>
      </w:r>
      <w:r>
        <w:rPr>
          <w:rFonts w:hint="eastAsia" w:ascii="仿宋_GB2312" w:hAnsi="Calibri" w:eastAsia="仿宋_GB2312" w:cs="仿宋_GB2312"/>
          <w:sz w:val="32"/>
          <w:szCs w:val="32"/>
          <w:lang w:bidi="ar"/>
        </w:rPr>
        <w:t>通过积极履行社会责任，有效促进非</w:t>
      </w:r>
      <w:r>
        <w:rPr>
          <w:rFonts w:hint="eastAsia" w:ascii="仿宋_GB2312" w:hAnsi="Calibri" w:eastAsia="仿宋_GB2312" w:cs="仿宋_GB2312"/>
          <w:sz w:val="32"/>
          <w:szCs w:val="32"/>
          <w:lang w:bidi="ar"/>
        </w:rPr>
        <w:t>洲当地经济社会发展，增进当地民生福祉，促进中非民心相通。当前，中非合作进入高质量发展新时期，为深化推进“百企千村”活动，在中非合作论坛新一届会议即将召开之际，中国在非企业社会责任联盟向在非中资企业及社会各界发出如下倡议：</w:t>
      </w:r>
    </w:p>
    <w:p>
      <w:pPr>
        <w:pStyle w:val="5"/>
        <w:widowControl/>
        <w:numPr>
          <w:ilvl w:val="0"/>
          <w:numId w:val="1"/>
        </w:numPr>
        <w:spacing w:line="360" w:lineRule="auto"/>
        <w:ind w:firstLine="640"/>
        <w:rPr>
          <w:rFonts w:ascii="仿宋" w:hAnsi="仿宋" w:eastAsia="仿宋" w:cs="仿宋"/>
          <w:sz w:val="32"/>
          <w:szCs w:val="32"/>
        </w:rPr>
      </w:pPr>
      <w:r>
        <w:rPr>
          <w:rFonts w:hint="eastAsia" w:ascii="黑体" w:hAnsi="宋体" w:eastAsia="黑体" w:cs="黑体"/>
          <w:sz w:val="32"/>
          <w:szCs w:val="32"/>
        </w:rPr>
        <w:t>深化“百企千村”活动，聚焦“小而美”项目。</w:t>
      </w:r>
      <w:r>
        <w:rPr>
          <w:rFonts w:hint="eastAsia" w:ascii="仿宋" w:hAnsi="仿宋" w:eastAsia="仿宋" w:cs="仿宋"/>
          <w:sz w:val="32"/>
          <w:szCs w:val="32"/>
        </w:rPr>
        <w:t>秉持“真实亲诚”对非理念和正确义利观，积极参与和支持“百企千村”活动，</w:t>
      </w:r>
      <w:r>
        <w:rPr>
          <w:rFonts w:hint="eastAsia" w:ascii="仿宋_GB2312" w:eastAsia="仿宋_GB2312" w:cs="仿宋_GB2312"/>
          <w:sz w:val="32"/>
          <w:szCs w:val="32"/>
        </w:rPr>
        <w:t>主动谋划实施高质量的“小而美”民生项目，</w:t>
      </w:r>
      <w:r>
        <w:rPr>
          <w:rFonts w:hint="eastAsia" w:ascii="仿宋" w:hAnsi="仿宋" w:eastAsia="仿宋" w:cs="仿宋"/>
          <w:sz w:val="32"/>
          <w:szCs w:val="32"/>
        </w:rPr>
        <w:t>助力</w:t>
      </w:r>
      <w:r>
        <w:rPr>
          <w:rFonts w:hint="eastAsia" w:ascii="仿宋_GB2312" w:eastAsia="仿宋_GB2312" w:cs="仿宋_GB2312"/>
          <w:sz w:val="32"/>
          <w:szCs w:val="32"/>
        </w:rPr>
        <w:t>村企共兴，增进民生福祉</w:t>
      </w:r>
      <w:r>
        <w:rPr>
          <w:rFonts w:hint="eastAsia" w:ascii="仿宋" w:hAnsi="仿宋" w:eastAsia="仿宋" w:cs="仿宋"/>
          <w:sz w:val="32"/>
          <w:szCs w:val="32"/>
        </w:rPr>
        <w:t>。</w:t>
      </w:r>
    </w:p>
    <w:p>
      <w:pPr>
        <w:pStyle w:val="5"/>
        <w:widowControl/>
        <w:numPr>
          <w:ilvl w:val="0"/>
          <w:numId w:val="1"/>
        </w:numPr>
        <w:spacing w:line="360" w:lineRule="auto"/>
        <w:ind w:firstLine="640"/>
        <w:rPr>
          <w:rFonts w:ascii="仿宋" w:hAnsi="仿宋" w:eastAsia="仿宋" w:cs="仿宋"/>
          <w:sz w:val="32"/>
          <w:szCs w:val="32"/>
        </w:rPr>
      </w:pPr>
      <w:r>
        <w:rPr>
          <w:rFonts w:hint="eastAsia" w:ascii="黑体" w:hAnsi="宋体" w:eastAsia="黑体" w:cs="黑体"/>
          <w:sz w:val="32"/>
          <w:szCs w:val="32"/>
        </w:rPr>
        <w:t>关注民生改善，推动成果共享。</w:t>
      </w:r>
      <w:r>
        <w:rPr>
          <w:rFonts w:hint="eastAsia" w:ascii="仿宋" w:hAnsi="仿宋" w:eastAsia="仿宋" w:cs="仿宋"/>
          <w:sz w:val="32"/>
          <w:szCs w:val="32"/>
        </w:rPr>
        <w:t>聚焦卫生医疗、生态环境、农业发展、人才培养等领域民生改善的迫切需求，帮助非洲社会持续提升疟疾防治、水电供应、粮食供给、人才技能等综合能力，实现共享发展成果的目标。</w:t>
      </w:r>
    </w:p>
    <w:p>
      <w:pPr>
        <w:widowControl/>
        <w:numPr>
          <w:ilvl w:val="0"/>
          <w:numId w:val="1"/>
        </w:numPr>
        <w:spacing w:line="360" w:lineRule="auto"/>
        <w:ind w:firstLine="640" w:firstLineChars="200"/>
        <w:rPr>
          <w:rFonts w:ascii="仿宋" w:hAnsi="仿宋" w:eastAsia="仿宋" w:cs="仿宋"/>
          <w:sz w:val="32"/>
          <w:szCs w:val="32"/>
        </w:rPr>
      </w:pPr>
      <w:r>
        <w:rPr>
          <w:rFonts w:hint="eastAsia" w:ascii="黑体" w:hAnsi="宋体" w:eastAsia="黑体" w:cs="黑体"/>
          <w:sz w:val="32"/>
          <w:szCs w:val="32"/>
          <w:lang w:bidi="ar"/>
        </w:rPr>
        <w:t>重视长效发展，持续发挥影响。</w:t>
      </w:r>
      <w:r>
        <w:rPr>
          <w:rFonts w:hint="eastAsia" w:ascii="仿宋" w:hAnsi="仿宋" w:eastAsia="仿宋" w:cs="仿宋"/>
          <w:sz w:val="32"/>
          <w:szCs w:val="32"/>
          <w:lang w:bidi="ar"/>
        </w:rPr>
        <w:t>以“接地气、聚人气、可持续”为设计规划导向，关注惠民成效，满足技术标准，符合生态理念，尊重公序良俗，融入人文环境，让项目影响持续发挥，让当地人民持续受益。</w:t>
      </w:r>
    </w:p>
    <w:p>
      <w:pPr>
        <w:widowControl/>
        <w:numPr>
          <w:ilvl w:val="0"/>
          <w:numId w:val="1"/>
        </w:numPr>
        <w:spacing w:line="360" w:lineRule="auto"/>
        <w:ind w:firstLine="640" w:firstLineChars="200"/>
        <w:rPr>
          <w:rFonts w:ascii="仿宋_GB2312" w:eastAsia="仿宋_GB2312" w:cs="仿宋_GB2312"/>
          <w:sz w:val="32"/>
          <w:szCs w:val="32"/>
        </w:rPr>
      </w:pPr>
      <w:r>
        <w:rPr>
          <w:rFonts w:hint="eastAsia" w:ascii="黑体" w:hAnsi="宋体" w:eastAsia="黑体" w:cs="黑体"/>
          <w:sz w:val="32"/>
          <w:szCs w:val="32"/>
          <w:lang w:bidi="ar"/>
        </w:rPr>
        <w:t>发挥各方优势，建设精品项目。</w:t>
      </w:r>
      <w:r>
        <w:rPr>
          <w:rFonts w:hint="eastAsia" w:ascii="仿宋" w:hAnsi="仿宋" w:eastAsia="仿宋" w:cs="仿宋"/>
          <w:sz w:val="32"/>
          <w:szCs w:val="32"/>
          <w:lang w:bidi="ar"/>
        </w:rPr>
        <w:t>发挥政府、平台、企业等各方的优势与特点，重视需求调研，加强沟通与合作，立体、科学、负责任地规划与实施，着力打造有特色、高品质的精品工程。</w:t>
      </w:r>
    </w:p>
    <w:p>
      <w:pPr>
        <w:widowControl/>
        <w:numPr>
          <w:ilvl w:val="0"/>
          <w:numId w:val="1"/>
        </w:numPr>
        <w:spacing w:line="360" w:lineRule="auto"/>
        <w:ind w:firstLine="640" w:firstLineChars="200"/>
        <w:rPr>
          <w:rFonts w:ascii="仿宋_GB2312" w:eastAsia="仿宋_GB2312" w:cs="仿宋_GB2312"/>
          <w:sz w:val="32"/>
          <w:szCs w:val="32"/>
        </w:rPr>
      </w:pPr>
      <w:r>
        <w:rPr>
          <w:rFonts w:hint="eastAsia" w:ascii="黑体" w:hAnsi="宋体" w:eastAsia="黑体" w:cs="黑体"/>
          <w:sz w:val="32"/>
          <w:szCs w:val="32"/>
          <w:lang w:bidi="ar"/>
        </w:rPr>
        <w:t>形成经验体系，打造履责品牌。</w:t>
      </w:r>
      <w:r>
        <w:rPr>
          <w:rFonts w:hint="eastAsia" w:ascii="仿宋_GB2312" w:hAnsi="Calibri" w:eastAsia="仿宋_GB2312" w:cs="仿宋_GB2312"/>
          <w:sz w:val="32"/>
          <w:szCs w:val="32"/>
          <w:lang w:bidi="ar"/>
        </w:rPr>
        <w:t>注重总结形成一套可推广、可复制的经验做法和科学体系，共同努力将“百企千村”活动打造成影响力大、参与面广、辨识度高、可持续性强的社会责任品牌项目。</w:t>
      </w:r>
    </w:p>
    <w:p>
      <w:pPr>
        <w:spacing w:line="360" w:lineRule="auto"/>
        <w:ind w:firstLine="640" w:firstLineChars="200"/>
        <w:rPr>
          <w:rFonts w:ascii="仿宋" w:hAnsi="仿宋" w:eastAsia="仿宋" w:cs="仿宋"/>
          <w:sz w:val="32"/>
          <w:szCs w:val="32"/>
          <w:lang w:bidi="ar"/>
        </w:rPr>
      </w:pPr>
      <w:r>
        <w:rPr>
          <w:rFonts w:hint="eastAsia" w:ascii="黑体" w:hAnsi="宋体" w:eastAsia="黑体" w:cs="黑体"/>
          <w:sz w:val="32"/>
          <w:szCs w:val="32"/>
          <w:lang w:bidi="ar"/>
        </w:rPr>
        <w:t>六、发挥标杆作用，引领行业发展。</w:t>
      </w:r>
      <w:r>
        <w:rPr>
          <w:rFonts w:hint="eastAsia" w:ascii="仿宋_GB2312" w:hAnsi="Calibri" w:eastAsia="仿宋_GB2312" w:cs="仿宋_GB2312"/>
          <w:sz w:val="32"/>
          <w:szCs w:val="32"/>
          <w:lang w:bidi="ar"/>
        </w:rPr>
        <w:t>优秀企业积极表率担当，建设优质项目，传播中国工匠精神，树立中国品牌形象。谋划探索更多标志性成果，积极分享经验做法，带动行业共同发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清雅黑体">
    <w:panose1 w:val="00000500000000000000"/>
    <w:charset w:val="86"/>
    <w:family w:val="auto"/>
    <w:pitch w:val="default"/>
    <w:sig w:usb0="8000002F" w:usb1="084164FA" w:usb2="00000012" w:usb3="00000000" w:csb0="00040001"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291BE"/>
    <w:multiLevelType w:val="multilevel"/>
    <w:tmpl w:val="8E1291BE"/>
    <w:lvl w:ilvl="0" w:tentative="0">
      <w:start w:val="1"/>
      <w:numFmt w:val="chineseCounting"/>
      <w:suff w:val="nothing"/>
      <w:lvlText w:val="%1、"/>
      <w:lvlJc w:val="left"/>
      <w:pPr>
        <w:ind w:left="0" w:firstLine="0"/>
      </w:pPr>
      <w:rPr>
        <w:rFonts w:hint="eastAsia" w:ascii="黑体" w:hAnsi="宋体" w:eastAsia="黑体" w:cs="黑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zMTZhMTY4NDg1ZTA0NTNlYTBhYmQ3N2IzNjZhNjMifQ=="/>
  </w:docVars>
  <w:rsids>
    <w:rsidRoot w:val="74ED3235"/>
    <w:rsid w:val="00956635"/>
    <w:rsid w:val="00AA3F24"/>
    <w:rsid w:val="00F36E50"/>
    <w:rsid w:val="3BEE0515"/>
    <w:rsid w:val="66FB3CFE"/>
    <w:rsid w:val="676B6445"/>
    <w:rsid w:val="69417413"/>
    <w:rsid w:val="74ED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msolistparagraph"/>
    <w:basedOn w:val="1"/>
    <w:autoRedefine/>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2</Pages>
  <Words>732</Words>
  <Characters>732</Characters>
  <Lines>5</Lines>
  <Paragraphs>1</Paragraphs>
  <TotalTime>3</TotalTime>
  <ScaleCrop>false</ScaleCrop>
  <LinksUpToDate>false</LinksUpToDate>
  <CharactersWithSpaces>733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2024-07-04T07:56:00Z</dcterms:created>
  <dc:creator>人在罗西亚</dc:creator>
  <cp:lastModifiedBy>人在罗西亚</cp:lastModifiedBy>
  <dcterms:modified xsi:type="dcterms:W3CDTF">2024-07-12T01:13:33Z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9D8F6B870766495DA1466F675FDA5E93_13</vt:lpwstr>
  </property>
</Properties>
</file>